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62181583" w14:textId="0C8EBDC7" w:rsidR="00472387" w:rsidRPr="00B435DF" w:rsidRDefault="00DC7CA0" w:rsidP="00DC7CA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A216DD">
        <w:rPr>
          <w:b/>
          <w:bCs/>
        </w:rPr>
        <w:t xml:space="preserve">PROCEDURA NEGOZIATA SENZA BANDO DI CUI ALL’ART. 63 DEL D.LGS. N. 50/2016 PREVISTA DALL’ART. 1 COMMA 2 LETT. B) DEL DECRETO LEGGE N. 76/2020 CONVERTITO CON MODIFICAZIONI NELLA LEGGE N. 120/2020 PER LA CONCLUSIONE DELL’ACCORDO QUADRO AI SENSI DELL’ART. 54 COMMA 3 DEL D.LGS. N,. 50/2016 PER OPERE EDILI, DA VETRAIO, FABBRO E FALEGNAME PER INTERVENTI DI MANUTENZIONE ORDINARIA, STRAORDINARIA, PRONTO INTERVENTO SUGLI IMMOBILI, IMPIANTI, PERTINENZE ED AREE ESTERNE APPARTENENTI AL PATRIMONIO COMUNALE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574"/>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77777777" w:rsidR="00FF2332" w:rsidRPr="00290B36" w:rsidRDefault="00FF2332" w:rsidP="00FF2332">
            <w:pPr>
              <w:rPr>
                <w:rFonts w:eastAsia="Times New Roman"/>
                <w:sz w:val="22"/>
                <w:lang w:eastAsia="ar-SA"/>
              </w:rPr>
            </w:pPr>
            <w:r w:rsidRPr="00290B36">
              <w:rPr>
                <w:rFonts w:eastAsia="Times New Roman"/>
                <w:sz w:val="22"/>
                <w:lang w:eastAsia="ar-SA"/>
              </w:rPr>
              <w:t xml:space="preserve">Ufficio comune operante come centrale unica di committenza, costituito  tra il Comune di Vimodrone-Comune di Cassina de Pecchi e Comune di Rodano </w:t>
            </w:r>
          </w:p>
          <w:p w14:paraId="330C110D" w14:textId="198FF71C" w:rsidR="00FF2332" w:rsidRPr="00290B36" w:rsidRDefault="00FF2332" w:rsidP="00FF2332">
            <w:pPr>
              <w:rPr>
                <w:rFonts w:eastAsia="Times New Roman"/>
                <w:sz w:val="22"/>
                <w:lang w:eastAsia="ar-SA"/>
              </w:rPr>
            </w:pPr>
            <w:r w:rsidRPr="00290B36">
              <w:rPr>
                <w:rFonts w:eastAsia="Times New Roman"/>
                <w:sz w:val="22"/>
                <w:lang w:eastAsia="ar-SA"/>
              </w:rPr>
              <w:t xml:space="preserve">  CFAVCP-0000E15  / 07430220157</w:t>
            </w:r>
          </w:p>
          <w:p w14:paraId="5D0CE578" w14:textId="2A5D190F" w:rsidR="00472387" w:rsidRPr="00290B36" w:rsidRDefault="00472387" w:rsidP="00F84A30">
            <w:pPr>
              <w:suppressAutoHyphens/>
              <w:rPr>
                <w:rFonts w:eastAsia="Times New Roman"/>
                <w:sz w:val="22"/>
                <w:lang w:eastAsia="ar-SA"/>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4623BE69" w14:textId="6FEB0A0F" w:rsidR="0044310E" w:rsidRPr="0044310E" w:rsidRDefault="00472387" w:rsidP="0044310E">
            <w:pPr>
              <w:widowControl w:val="0"/>
              <w:autoSpaceDE w:val="0"/>
              <w:autoSpaceDN w:val="0"/>
              <w:adjustRightInd w:val="0"/>
              <w:spacing w:after="240" w:line="240" w:lineRule="atLeast"/>
              <w:rPr>
                <w:rFonts w:eastAsia="Times New Roman"/>
                <w:sz w:val="22"/>
                <w:lang w:eastAsia="ar-SA"/>
              </w:rPr>
            </w:pPr>
            <w:r w:rsidRPr="00290B36">
              <w:rPr>
                <w:rFonts w:eastAsia="Times New Roman"/>
                <w:sz w:val="22"/>
                <w:lang w:eastAsia="ar-SA"/>
              </w:rPr>
              <w:t>Risposta:</w:t>
            </w:r>
            <w:r w:rsidR="00033F19" w:rsidRPr="00290B36">
              <w:rPr>
                <w:rFonts w:eastAsia="Times New Roman"/>
                <w:sz w:val="22"/>
                <w:lang w:eastAsia="ar-SA"/>
              </w:rPr>
              <w:t xml:space="preserve"> </w:t>
            </w:r>
            <w:bookmarkStart w:id="0" w:name="_Hlk64966368"/>
            <w:bookmarkStart w:id="1" w:name="_Hlk64967342"/>
            <w:r w:rsidR="00DC7CA0" w:rsidRPr="00DC7CA0">
              <w:rPr>
                <w:rFonts w:eastAsia="Times New Roman"/>
                <w:sz w:val="22"/>
                <w:lang w:eastAsia="ar-SA"/>
              </w:rPr>
              <w:t>PROCEDURA NEGOZIATA SENZA BANDO DI CUI ALL’ART. 63 DEL D.LGS. N. 50/2016 PREVISTA DALL’ART. 1 COMMA 2 LETT. B) DEL DECRETO LEGGE N. 76/2020 CONVERTITO CON MODIFICAZIONI NELLA LEGGE N. 120/2020 PER LA CONCLUSIONE DELL’ACCORDO QUADRO AI SENSI DELL’ART. 54 COMMA 3 DEL D.LGS. N,. 50/2016 PER OPERE EDILI, DA VETRAIO, FABBRO E FALEGNAME PER INTERVENTI DI MANUTENZIONE ORDINARIA, STRAORDINARIA, PRONTO INTERVENTO SUGLI IMMOBILI, IMPIANTI, PERTINENZE ED AREE ESTERNE APPARTENENTI AL PATRIMONIO COMUNALE</w:t>
            </w:r>
            <w:r w:rsidR="0044310E" w:rsidRPr="0044310E">
              <w:rPr>
                <w:rFonts w:eastAsia="Times New Roman"/>
                <w:sz w:val="22"/>
                <w:lang w:eastAsia="ar-SA"/>
              </w:rPr>
              <w:t xml:space="preserve">  </w:t>
            </w:r>
          </w:p>
          <w:bookmarkEnd w:id="0"/>
          <w:bookmarkEnd w:id="1"/>
          <w:p w14:paraId="1D23CF2D" w14:textId="644CA0A1" w:rsidR="00E76310" w:rsidRPr="00290B36" w:rsidRDefault="00E76310" w:rsidP="00E76310">
            <w:pPr>
              <w:widowControl w:val="0"/>
              <w:autoSpaceDE w:val="0"/>
              <w:autoSpaceDN w:val="0"/>
              <w:adjustRightInd w:val="0"/>
              <w:spacing w:after="240" w:line="240" w:lineRule="atLeast"/>
              <w:rPr>
                <w:rFonts w:eastAsia="Times New Roman"/>
                <w:sz w:val="22"/>
                <w:lang w:eastAsia="ar-SA"/>
              </w:rPr>
            </w:pPr>
          </w:p>
          <w:p w14:paraId="3CD43A56" w14:textId="2AC6F13B" w:rsidR="00472387" w:rsidRPr="00290B36" w:rsidRDefault="00472387" w:rsidP="00F84A30">
            <w:pPr>
              <w:rPr>
                <w:rFonts w:eastAsia="Times New Roman"/>
                <w:sz w:val="22"/>
                <w:lang w:eastAsia="ar-SA"/>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458AF241" w14:textId="77777777" w:rsidR="00DC7CA0" w:rsidRPr="00DC7CA0" w:rsidRDefault="00DC7CA0" w:rsidP="00DC7CA0">
            <w:pPr>
              <w:pStyle w:val="Proposta"/>
              <w:rPr>
                <w:rFonts w:ascii="Times New Roman" w:hAnsi="Times New Roman" w:cs="Times New Roman"/>
                <w:sz w:val="22"/>
                <w:szCs w:val="22"/>
                <w:lang w:eastAsia="ar-SA" w:bidi="it-IT"/>
              </w:rPr>
            </w:pPr>
            <w:bookmarkStart w:id="2" w:name="_Hlk22722500"/>
            <w:r w:rsidRPr="00DC7CA0">
              <w:rPr>
                <w:rFonts w:ascii="Times New Roman" w:hAnsi="Times New Roman" w:cs="Times New Roman"/>
                <w:sz w:val="22"/>
                <w:szCs w:val="22"/>
                <w:lang w:eastAsia="ar-SA" w:bidi="it-IT"/>
              </w:rPr>
              <w:t xml:space="preserve">Le opere oggetto dell’accordo quadro sono  </w:t>
            </w:r>
            <w:bookmarkStart w:id="3" w:name="_Hlk70954982"/>
            <w:r w:rsidRPr="00DC7CA0">
              <w:rPr>
                <w:rFonts w:ascii="Times New Roman" w:hAnsi="Times New Roman" w:cs="Times New Roman"/>
                <w:sz w:val="22"/>
                <w:szCs w:val="22"/>
                <w:lang w:eastAsia="ar-SA" w:bidi="it-IT"/>
              </w:rPr>
              <w:t>le opere edili da fabbro, falegname, vetraio occorrenti per la realizzazione di interventi di manutenzione ordinaria, straordinaria, interventi di pronto intervento sugli immobili, impianti, pertinenze e aree esterne appartenenti al patrimonio comunale</w:t>
            </w:r>
            <w:bookmarkEnd w:id="3"/>
            <w:r w:rsidRPr="00DC7CA0">
              <w:rPr>
                <w:rFonts w:ascii="Times New Roman" w:hAnsi="Times New Roman" w:cs="Times New Roman"/>
                <w:sz w:val="22"/>
                <w:szCs w:val="22"/>
                <w:lang w:eastAsia="ar-SA" w:bidi="it-IT"/>
              </w:rPr>
              <w:t>.</w:t>
            </w:r>
          </w:p>
          <w:p w14:paraId="7E7C8CD7" w14:textId="77777777" w:rsidR="00DC7CA0" w:rsidRPr="00DC7CA0" w:rsidRDefault="00DC7CA0" w:rsidP="00DC7CA0">
            <w:pPr>
              <w:pStyle w:val="Nessunaspaziatura1"/>
              <w:ind w:left="0" w:right="-20"/>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 xml:space="preserve">Le opere possono essere definite in via generale ma non nella loro descrizione compiuta, nel numero e nella localizzazione. Essi dipenderanno dalle necessità che verranno evidenziate dalla Direzione dei Lavori nell’arco di tempo previsto di vigenza dell’Accordo Quadro. Pertanto le opere e le prestazioni di cui sopra saranno descritte e compiutamente disciplinate nell’ambito dei contratti applicativi e nei documenti di esecuzione di questi, quali gli ordini di lavoro emessi in esecuzione di ciascun contratto applicativo. </w:t>
            </w:r>
          </w:p>
          <w:p w14:paraId="0B33FD29" w14:textId="77777777" w:rsidR="00DC7CA0" w:rsidRPr="00DC7CA0" w:rsidRDefault="00DC7CA0" w:rsidP="00DC7CA0">
            <w:pPr>
              <w:pStyle w:val="Nessunaspaziatura1"/>
              <w:ind w:left="0" w:right="-20"/>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L’esecuzione dei lavori sarà oggetto di contratti applicativi che l’appaltatore si impegna ad assumere alle condizioni offerte in sede di gara entro il limite massimo dell’importo previsto per il periodo di validità dell’Accordo Quadro. La conclusione dell’Accordo Quadro non impegna in alcun modo il Comune a concludere i contratti applicativi per l’intero importo dell’Accordo Quadro. L’appaltatore non avrà nulla a pretendere fintanto che il Comune non darà esecuzione ai contratti applicativi.</w:t>
            </w:r>
          </w:p>
          <w:p w14:paraId="6483B47B" w14:textId="77777777" w:rsidR="00DC7CA0" w:rsidRPr="00DC7CA0" w:rsidRDefault="00DC7CA0" w:rsidP="00DC7CA0">
            <w:pPr>
              <w:pStyle w:val="Nessunaspaziatura1"/>
              <w:numPr>
                <w:ilvl w:val="0"/>
                <w:numId w:val="30"/>
              </w:numPr>
              <w:ind w:right="-20"/>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 xml:space="preserve">I lavori e servizi oggetto dell’accordo </w:t>
            </w:r>
            <w:bookmarkStart w:id="4" w:name="_Hlk70955100"/>
            <w:r w:rsidRPr="00DC7CA0">
              <w:rPr>
                <w:rFonts w:ascii="Times New Roman" w:eastAsia="Times New Roman" w:hAnsi="Times New Roman"/>
                <w:bCs w:val="0"/>
                <w:lang w:eastAsia="ar-SA" w:bidi="it-IT"/>
              </w:rPr>
              <w:t xml:space="preserve">sono quelli riferibili all’esecuzione a regola d’arte di tutti i lavori urgenti e non urgenti, anche di piccola entità, necessari per la manutenzione ordinaria, interventi di natura straordinaria e pronto intervento su immobili, fabbricati e impianti di proprietà comunale. Si intendono ricompresi gli interventi di manutenzione ordinaria e straordinaria evidenziate nei prezziari di riferimento seguenti: </w:t>
            </w:r>
          </w:p>
          <w:p w14:paraId="2BAFC16E" w14:textId="77777777" w:rsidR="00DC7CA0" w:rsidRPr="00DC7CA0" w:rsidRDefault="00DC7CA0" w:rsidP="00DC7CA0">
            <w:pPr>
              <w:pStyle w:val="Nessunaspaziatura1"/>
              <w:numPr>
                <w:ilvl w:val="0"/>
                <w:numId w:val="33"/>
              </w:numPr>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Listino “PREZZARIO REGIONALE delle Opere Pubbliche” edizione 2022 – Vol. 1.1 – Opere compiute – Civili, urbanizzazione e difesa del suolo;</w:t>
            </w:r>
          </w:p>
          <w:p w14:paraId="109C5E46" w14:textId="77777777" w:rsidR="00DC7CA0" w:rsidRPr="00DC7CA0" w:rsidRDefault="00DC7CA0" w:rsidP="00DC7CA0">
            <w:pPr>
              <w:pStyle w:val="Nessunaspaziatura1"/>
              <w:numPr>
                <w:ilvl w:val="0"/>
                <w:numId w:val="33"/>
              </w:numPr>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 xml:space="preserve">Listino “PREZZARIO REGIONALE delle Opere Pubbliche” edizione 2022 – </w:t>
            </w:r>
            <w:r w:rsidRPr="00DC7CA0">
              <w:rPr>
                <w:rFonts w:ascii="Times New Roman" w:eastAsia="Times New Roman" w:hAnsi="Times New Roman"/>
                <w:bCs w:val="0"/>
                <w:lang w:eastAsia="ar-SA" w:bidi="it-IT"/>
              </w:rPr>
              <w:lastRenderedPageBreak/>
              <w:t>Vol. 1.2 – Opere compiute – Impianti elettrici e meccanici;</w:t>
            </w:r>
          </w:p>
          <w:p w14:paraId="59D95794" w14:textId="77777777" w:rsidR="00DC7CA0" w:rsidRPr="00DC7CA0" w:rsidRDefault="00DC7CA0" w:rsidP="00DC7CA0">
            <w:pPr>
              <w:pStyle w:val="Nessunaspaziatura1"/>
              <w:numPr>
                <w:ilvl w:val="0"/>
                <w:numId w:val="33"/>
              </w:numPr>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Listino “PREZZARIO REGIONALE delle Opere Pubbliche” edizione 2022 – Vol. 2.1 – Costi Unitari e Piccola Manutenzione – Civili e urbanizzazioni;</w:t>
            </w:r>
          </w:p>
          <w:p w14:paraId="0201B2CB" w14:textId="77777777" w:rsidR="00DC7CA0" w:rsidRPr="00DC7CA0" w:rsidRDefault="00DC7CA0" w:rsidP="00DC7CA0">
            <w:pPr>
              <w:pStyle w:val="Nessunaspaziatura1"/>
              <w:numPr>
                <w:ilvl w:val="0"/>
                <w:numId w:val="33"/>
              </w:numPr>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Listino “PREZZARIO REGIONALE delle Opere Pubbliche” edizione 2022 – Vol. 2.2 – Costi Unitari e Piccola Manutenzione – Impianti elettrici e meccanici;</w:t>
            </w:r>
          </w:p>
          <w:p w14:paraId="1634CA0D" w14:textId="77777777" w:rsidR="00DC7CA0" w:rsidRPr="00DC7CA0" w:rsidRDefault="00DC7CA0" w:rsidP="00DC7CA0">
            <w:pPr>
              <w:pStyle w:val="Nessunaspaziatura1"/>
              <w:numPr>
                <w:ilvl w:val="0"/>
                <w:numId w:val="33"/>
              </w:numPr>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Listino “PREZZARIO REGIONALE delle Opere Pubbliche” edizione 2022 – Vol. Specifiche Tecniche.</w:t>
            </w:r>
          </w:p>
          <w:p w14:paraId="0237FFF6" w14:textId="77777777" w:rsidR="00DC7CA0" w:rsidRPr="00DC7CA0" w:rsidRDefault="00DC7CA0" w:rsidP="00DC7CA0">
            <w:pPr>
              <w:pStyle w:val="Nessunaspaziatura1"/>
              <w:ind w:left="0" w:right="-20"/>
              <w:rPr>
                <w:rFonts w:ascii="Times New Roman" w:eastAsia="Times New Roman" w:hAnsi="Times New Roman"/>
                <w:bCs w:val="0"/>
                <w:lang w:eastAsia="ar-SA" w:bidi="it-IT"/>
              </w:rPr>
            </w:pPr>
          </w:p>
          <w:p w14:paraId="3963436E" w14:textId="77777777" w:rsidR="00DC7CA0" w:rsidRPr="00DC7CA0" w:rsidRDefault="00DC7CA0" w:rsidP="00DC7CA0">
            <w:pPr>
              <w:pStyle w:val="Nessunaspaziatura1"/>
              <w:ind w:left="0" w:right="-20"/>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 xml:space="preserve">Le attività di manutenzione edile da fabbro, falegname, vetraio comprendono il complesso delle azioni necessarie a ripristinare o mantenere nel tempo l’efficienza funzionale e le prestazioni nominali di tutti i componenti, le apparecchiature ed i materiali che costituiscono l’impianto. </w:t>
            </w:r>
          </w:p>
          <w:p w14:paraId="301E9C3F" w14:textId="77777777" w:rsidR="00DC7CA0" w:rsidRPr="00DC7CA0" w:rsidRDefault="00DC7CA0" w:rsidP="00DC7CA0">
            <w:pPr>
              <w:pStyle w:val="Nessunaspaziatura1"/>
              <w:ind w:left="0" w:right="-20"/>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Si riportano di seguito delle prestazioni, a titolo esemplificativo ma non esaustivo, che potrebbero essere richieste:</w:t>
            </w:r>
            <w:bookmarkEnd w:id="4"/>
          </w:p>
          <w:p w14:paraId="215CD9BB" w14:textId="77777777" w:rsidR="00DC7CA0" w:rsidRPr="00DC7CA0" w:rsidRDefault="00DC7CA0" w:rsidP="00DC7CA0">
            <w:pPr>
              <w:pStyle w:val="Nessunaspaziatura1"/>
              <w:numPr>
                <w:ilvl w:val="0"/>
                <w:numId w:val="30"/>
              </w:numPr>
              <w:ind w:right="-20"/>
              <w:rPr>
                <w:rFonts w:ascii="Times New Roman" w:eastAsia="Times New Roman" w:hAnsi="Times New Roman"/>
                <w:bCs w:val="0"/>
                <w:lang w:eastAsia="ar-SA" w:bidi="it-IT"/>
              </w:rPr>
            </w:pPr>
          </w:p>
          <w:p w14:paraId="0219A14C" w14:textId="77777777" w:rsidR="00DC7CA0" w:rsidRPr="00DC7CA0" w:rsidRDefault="00DC7CA0" w:rsidP="00DC7CA0">
            <w:pPr>
              <w:numPr>
                <w:ilvl w:val="0"/>
                <w:numId w:val="32"/>
              </w:numPr>
              <w:spacing w:before="0" w:after="0" w:line="276" w:lineRule="auto"/>
              <w:ind w:left="1134" w:hanging="425"/>
              <w:rPr>
                <w:rFonts w:eastAsia="Times New Roman"/>
                <w:sz w:val="22"/>
                <w:lang w:eastAsia="ar-SA"/>
              </w:rPr>
            </w:pPr>
            <w:r w:rsidRPr="00DC7CA0">
              <w:rPr>
                <w:rFonts w:eastAsia="Times New Roman"/>
                <w:sz w:val="22"/>
                <w:lang w:eastAsia="ar-SA"/>
              </w:rPr>
              <w:t>Opere edili:</w:t>
            </w:r>
          </w:p>
          <w:p w14:paraId="2C4D833A"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Demolizione e ricostruzione di pareti divisorie atte ad ottimizzare la funzionalità degli ambienti;</w:t>
            </w:r>
          </w:p>
          <w:p w14:paraId="34B01EC4"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Modifica, riparazione, adeguamento di servizi igienici;</w:t>
            </w:r>
          </w:p>
          <w:p w14:paraId="639915C0"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Eventuale risanamento dell’umidità da infiltrazioni nelle murature;</w:t>
            </w:r>
          </w:p>
          <w:p w14:paraId="02E44AB5"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Riparazione dei manti di copertura;</w:t>
            </w:r>
          </w:p>
          <w:p w14:paraId="0B12C112"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Riparazione, sostituzione serramenti;</w:t>
            </w:r>
          </w:p>
          <w:p w14:paraId="698595AC"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Ripresa di intonaci interni ed esterni deteriorati ed intonacature sulle pareti di nuova costruzione;</w:t>
            </w:r>
          </w:p>
          <w:p w14:paraId="44CBD8EB"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Apertura e chiusura tracce nelle murature per il passaggio dell’impiantistica;</w:t>
            </w:r>
          </w:p>
          <w:p w14:paraId="5B4D7A13"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 xml:space="preserve">Scavi, </w:t>
            </w:r>
            <w:proofErr w:type="spellStart"/>
            <w:r w:rsidRPr="00DC7CA0">
              <w:rPr>
                <w:rFonts w:eastAsia="Times New Roman"/>
                <w:sz w:val="22"/>
                <w:lang w:eastAsia="ar-SA"/>
              </w:rPr>
              <w:t>reinterri</w:t>
            </w:r>
            <w:proofErr w:type="spellEnd"/>
            <w:r w:rsidRPr="00DC7CA0">
              <w:rPr>
                <w:rFonts w:eastAsia="Times New Roman"/>
                <w:sz w:val="22"/>
                <w:lang w:eastAsia="ar-SA"/>
              </w:rPr>
              <w:t>, sistemazione pavimentazioni esterne;</w:t>
            </w:r>
          </w:p>
          <w:p w14:paraId="4651086A"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lastRenderedPageBreak/>
              <w:t>Modifica, rifacimento, rinnovamento tratti di fognature nelle aree pertinenziali dei fabbricati;</w:t>
            </w:r>
          </w:p>
          <w:p w14:paraId="2DBC985C"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Modifica, riparazione di recinzioni, cancellate, porte, cancelli manuali ed automatizzati.</w:t>
            </w:r>
          </w:p>
          <w:p w14:paraId="372DD0B2" w14:textId="77777777" w:rsidR="00DC7CA0" w:rsidRPr="00DC7CA0" w:rsidRDefault="00DC7CA0" w:rsidP="00DC7CA0">
            <w:pPr>
              <w:numPr>
                <w:ilvl w:val="0"/>
                <w:numId w:val="32"/>
              </w:numPr>
              <w:spacing w:before="0" w:after="0" w:line="276" w:lineRule="auto"/>
              <w:ind w:left="1134" w:hanging="425"/>
              <w:rPr>
                <w:rFonts w:eastAsia="Times New Roman"/>
                <w:sz w:val="22"/>
                <w:lang w:eastAsia="ar-SA"/>
              </w:rPr>
            </w:pPr>
            <w:r w:rsidRPr="00DC7CA0">
              <w:rPr>
                <w:rFonts w:eastAsia="Times New Roman"/>
                <w:sz w:val="22"/>
                <w:lang w:eastAsia="ar-SA"/>
              </w:rPr>
              <w:t>Opere di finitura:</w:t>
            </w:r>
          </w:p>
          <w:p w14:paraId="73AC1D3E"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Rinnovo tinteggiature esterne ed interne previo raschiamento delle tinteggiature preesistenti;</w:t>
            </w:r>
          </w:p>
          <w:p w14:paraId="2CEAD8E6"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Rinnovo, riparazione, sostituzione di pavimenti e rivestimenti interni, infissi, etc. (legno, pietra, vinilici, gres, ceramici, vetro, elementi in metallo, etc.);</w:t>
            </w:r>
          </w:p>
          <w:p w14:paraId="488FAF52" w14:textId="77777777" w:rsidR="00DC7CA0" w:rsidRPr="00DC7CA0" w:rsidRDefault="00DC7CA0" w:rsidP="00DC7CA0">
            <w:pPr>
              <w:numPr>
                <w:ilvl w:val="0"/>
                <w:numId w:val="32"/>
              </w:numPr>
              <w:spacing w:before="0" w:after="0" w:line="276" w:lineRule="auto"/>
              <w:ind w:left="1134" w:hanging="425"/>
              <w:rPr>
                <w:rFonts w:eastAsia="Times New Roman"/>
                <w:sz w:val="22"/>
                <w:lang w:eastAsia="ar-SA"/>
              </w:rPr>
            </w:pPr>
            <w:r w:rsidRPr="00DC7CA0">
              <w:rPr>
                <w:rFonts w:eastAsia="Times New Roman"/>
                <w:sz w:val="22"/>
                <w:lang w:eastAsia="ar-SA"/>
              </w:rPr>
              <w:t>Opere provvisorie e di prevenzione:</w:t>
            </w:r>
          </w:p>
          <w:p w14:paraId="4B45A65E" w14:textId="77777777" w:rsidR="00DC7CA0" w:rsidRPr="00DC7CA0" w:rsidRDefault="00DC7CA0" w:rsidP="00DC7CA0">
            <w:pPr>
              <w:numPr>
                <w:ilvl w:val="0"/>
                <w:numId w:val="31"/>
              </w:numPr>
              <w:autoSpaceDE w:val="0"/>
              <w:autoSpaceDN w:val="0"/>
              <w:adjustRightInd w:val="0"/>
              <w:spacing w:before="0" w:after="0" w:line="276" w:lineRule="auto"/>
              <w:rPr>
                <w:rFonts w:eastAsia="Times New Roman"/>
                <w:sz w:val="22"/>
                <w:lang w:eastAsia="ar-SA"/>
              </w:rPr>
            </w:pPr>
            <w:r w:rsidRPr="00DC7CA0">
              <w:rPr>
                <w:rFonts w:eastAsia="Times New Roman"/>
                <w:sz w:val="22"/>
                <w:lang w:eastAsia="ar-SA"/>
              </w:rPr>
              <w:t>Nella preparazione dei cantieri e delle aree logistiche possono essere previste opere provvisorie e di prevenzione, quali l’adeguamento di alcuni locali interni, bagni, illuminazione provvisoria e di emergenza dei posti di lavoro, gli impianti e mezzi antincendio, le segnalazioni di sicurezza, etc.</w:t>
            </w:r>
          </w:p>
          <w:p w14:paraId="4A0C4C39" w14:textId="77777777" w:rsidR="00DC7CA0" w:rsidRPr="00DC7CA0" w:rsidRDefault="00DC7CA0" w:rsidP="00DC7CA0">
            <w:pPr>
              <w:pStyle w:val="Nessunaspaziatura1"/>
              <w:ind w:left="0" w:right="-20"/>
              <w:rPr>
                <w:rFonts w:ascii="Times New Roman" w:eastAsia="Times New Roman" w:hAnsi="Times New Roman"/>
                <w:bCs w:val="0"/>
                <w:lang w:eastAsia="ar-SA" w:bidi="it-IT"/>
              </w:rPr>
            </w:pPr>
          </w:p>
          <w:p w14:paraId="54D50C02" w14:textId="77777777" w:rsidR="00DC7CA0" w:rsidRPr="00DC7CA0" w:rsidRDefault="00DC7CA0" w:rsidP="00DC7CA0">
            <w:pPr>
              <w:pStyle w:val="Nessunaspaziatura1"/>
              <w:ind w:left="0"/>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Ove, per esigenze normative o per esigenze dell’amministrazione e ad insindacabile giudizio della D.L., gli interventi di manutenzione richiedano e la redazione di dichiarazioni di conformità e dichiarazione di rispondenza in base all’art. 7 del D.M. 37/2008., le prestazioni verranno considerate come necessarie e facenti parte degli obblighi dei soggetti aggiudicatari.</w:t>
            </w:r>
          </w:p>
          <w:p w14:paraId="0C3A98BF" w14:textId="77777777" w:rsidR="00DC7CA0" w:rsidRPr="00DC7CA0" w:rsidRDefault="00DC7CA0" w:rsidP="00DC7CA0">
            <w:pPr>
              <w:pStyle w:val="Corpotesto"/>
              <w:spacing w:before="91"/>
              <w:rPr>
                <w:rFonts w:eastAsia="Times New Roman"/>
                <w:sz w:val="22"/>
                <w:lang w:eastAsia="ar-SA"/>
              </w:rPr>
            </w:pPr>
          </w:p>
          <w:p w14:paraId="2DE4749A" w14:textId="3F02A011" w:rsidR="00290B36" w:rsidRPr="00290B36" w:rsidRDefault="00DC7CA0" w:rsidP="00DC7CA0">
            <w:pPr>
              <w:pStyle w:val="a"/>
              <w:tabs>
                <w:tab w:val="left" w:pos="821"/>
                <w:tab w:val="left" w:pos="5670"/>
                <w:tab w:val="left" w:pos="6096"/>
              </w:tabs>
              <w:spacing w:line="276" w:lineRule="auto"/>
              <w:jc w:val="both"/>
              <w:rPr>
                <w:rFonts w:ascii="Times New Roman" w:eastAsia="Times New Roman" w:hAnsi="Times New Roman" w:cs="Times New Roman"/>
                <w:smallCaps w:val="0"/>
                <w:spacing w:val="0"/>
                <w:position w:val="0"/>
                <w:szCs w:val="22"/>
                <w:lang w:bidi="it-IT"/>
              </w:rPr>
            </w:pPr>
            <w:r w:rsidRPr="00DC7CA0">
              <w:rPr>
                <w:rFonts w:ascii="Times New Roman" w:eastAsia="Times New Roman" w:hAnsi="Times New Roman" w:cs="Times New Roman"/>
                <w:smallCaps w:val="0"/>
                <w:spacing w:val="0"/>
                <w:position w:val="0"/>
                <w:szCs w:val="22"/>
                <w:lang w:bidi="it-IT"/>
              </w:rPr>
              <w:t>Per maggiori indicazioni e dettagli si rinvia agli elaborati progettuali</w:t>
            </w:r>
          </w:p>
          <w:bookmarkEnd w:id="2"/>
          <w:p w14:paraId="76D992CA" w14:textId="0912EBFC" w:rsidR="000D6167" w:rsidRPr="00290B36" w:rsidRDefault="000D6167" w:rsidP="00DC7CA0">
            <w:pPr>
              <w:spacing w:line="0" w:lineRule="atLeast"/>
              <w:ind w:left="40"/>
              <w:rPr>
                <w:rFonts w:eastAsia="Times New Roman"/>
                <w:sz w:val="22"/>
                <w:lang w:eastAsia="ar-SA"/>
              </w:rPr>
            </w:pP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7842EC4C" w:rsidR="000D6167" w:rsidRPr="00B435DF" w:rsidRDefault="00290B36">
            <w:pPr>
              <w:rPr>
                <w:rFonts w:ascii="Arial" w:hAnsi="Arial" w:cs="Arial"/>
                <w:color w:val="000000" w:themeColor="text1"/>
                <w:sz w:val="15"/>
                <w:szCs w:val="15"/>
              </w:rPr>
            </w:pPr>
            <w:r>
              <w:rPr>
                <w:rFonts w:ascii="Arial" w:hAnsi="Arial" w:cs="Arial"/>
                <w:color w:val="000000" w:themeColor="text1"/>
                <w:sz w:val="15"/>
                <w:szCs w:val="15"/>
              </w:rPr>
              <w:t>_</w:t>
            </w:r>
            <w:r w:rsidRPr="00290B36">
              <w:rPr>
                <w:rFonts w:ascii="Arial" w:hAnsi="Arial" w:cs="Arial"/>
                <w:color w:val="000000" w:themeColor="text1"/>
                <w:sz w:val="15"/>
                <w:szCs w:val="15"/>
                <w:highlight w:val="yellow"/>
              </w:rPr>
              <w:t>_____________________________</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3603621C" w14:textId="26BE5F9F" w:rsidR="00FF2332" w:rsidRDefault="009D0E60" w:rsidP="00F84A30">
            <w:pPr>
              <w:suppressAutoHyphens/>
              <w:rPr>
                <w:rFonts w:eastAsia="Arial"/>
                <w:bCs/>
                <w:sz w:val="22"/>
              </w:rPr>
            </w:pPr>
            <w:r>
              <w:rPr>
                <w:b/>
                <w:bCs/>
              </w:rPr>
              <w:t>9275803AC7</w:t>
            </w:r>
          </w:p>
          <w:p w14:paraId="7DFD1347" w14:textId="77777777" w:rsidR="00290B36" w:rsidRDefault="00290B36" w:rsidP="00F84A30">
            <w:pPr>
              <w:suppressAutoHyphens/>
              <w:rPr>
                <w:rFonts w:eastAsia="Arial"/>
                <w:bCs/>
                <w:color w:val="000000" w:themeColor="text1"/>
                <w:sz w:val="15"/>
                <w:szCs w:val="15"/>
              </w:rPr>
            </w:pPr>
          </w:p>
          <w:p w14:paraId="26DB6614" w14:textId="77777777" w:rsidR="009D0E60" w:rsidRDefault="009D0E60" w:rsidP="009D0E60">
            <w:pPr>
              <w:rPr>
                <w:rFonts w:eastAsia="Times New Roman"/>
                <w:lang w:bidi="ar-SA"/>
              </w:rPr>
            </w:pPr>
            <w:r>
              <w:rPr>
                <w:b/>
                <w:bCs/>
                <w:i/>
                <w:iCs/>
                <w:color w:val="000000"/>
                <w:shd w:val="clear" w:color="auto" w:fill="FFFFFF"/>
              </w:rPr>
              <w:t>C81E22000110004</w:t>
            </w:r>
          </w:p>
          <w:p w14:paraId="615D90EC" w14:textId="35876932" w:rsidR="00290B36" w:rsidRDefault="00290B36" w:rsidP="00F84A30">
            <w:pPr>
              <w:suppressAutoHyphens/>
              <w:rPr>
                <w:rFonts w:eastAsia="Arial"/>
                <w:bCs/>
                <w:color w:val="000000" w:themeColor="text1"/>
                <w:sz w:val="15"/>
                <w:szCs w:val="15"/>
              </w:rPr>
            </w:pPr>
          </w:p>
          <w:p w14:paraId="0E565133" w14:textId="70D974AA" w:rsidR="00290B36" w:rsidRPr="00402C69" w:rsidRDefault="00290B36" w:rsidP="00F84A30">
            <w:pPr>
              <w:suppressAutoHyphens/>
              <w:rPr>
                <w:rFonts w:eastAsia="Arial"/>
                <w:bCs/>
                <w:color w:val="000000" w:themeColor="text1"/>
                <w:sz w:val="15"/>
                <w:szCs w:val="15"/>
              </w:rPr>
            </w:pP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6"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6"/>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7" w:name="_DV_M4300"/>
            <w:bookmarkStart w:id="8" w:name="_DV_M4301"/>
            <w:bookmarkEnd w:id="7"/>
            <w:bookmarkEnd w:id="8"/>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attivata </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w:altName w:val="GillSans"/>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5" w:name="_DV_C939"/>
      <w:r w:rsidRPr="00DC6298">
        <w:rPr>
          <w:rFonts w:ascii="Arial" w:hAnsi="Arial" w:cs="Arial"/>
          <w:sz w:val="12"/>
          <w:szCs w:val="12"/>
        </w:rPr>
        <w:t>persone disabili o svantaggiate</w:t>
      </w:r>
      <w:bookmarkEnd w:id="5"/>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711386"/>
    <w:multiLevelType w:val="hybridMultilevel"/>
    <w:tmpl w:val="71C4EEB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9E4BFA"/>
    <w:multiLevelType w:val="hybridMultilevel"/>
    <w:tmpl w:val="7F30C916"/>
    <w:lvl w:ilvl="0" w:tplc="37982A76">
      <w:start w:val="4"/>
      <w:numFmt w:val="bullet"/>
      <w:lvlText w:val="-"/>
      <w:lvlJc w:val="left"/>
      <w:pPr>
        <w:ind w:left="720" w:hanging="360"/>
      </w:pPr>
      <w:rPr>
        <w:rFonts w:ascii="Arial" w:eastAsia="Times New Roman" w:hAnsi="Arial" w:cs="Arial" w:hint="default"/>
        <w:b/>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AD7E0C"/>
    <w:multiLevelType w:val="hybridMultilevel"/>
    <w:tmpl w:val="E1CA8C9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0A3B35"/>
    <w:multiLevelType w:val="hybridMultilevel"/>
    <w:tmpl w:val="5D448C18"/>
    <w:lvl w:ilvl="0" w:tplc="04100001">
      <w:start w:val="1"/>
      <w:numFmt w:val="bullet"/>
      <w:lvlText w:val=""/>
      <w:lvlJc w:val="left"/>
      <w:pPr>
        <w:ind w:left="644" w:hanging="360"/>
      </w:pPr>
      <w:rPr>
        <w:rFonts w:ascii="Symbol" w:hAnsi="Symbol"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2"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77462D"/>
    <w:multiLevelType w:val="multilevel"/>
    <w:tmpl w:val="F1481C40"/>
    <w:styleLink w:val="List1"/>
    <w:lvl w:ilvl="0">
      <w:start w:val="1"/>
      <w:numFmt w:val="decimal"/>
      <w:lvlText w:val="%1."/>
      <w:lvlJc w:val="left"/>
      <w:pPr>
        <w:tabs>
          <w:tab w:val="num" w:pos="396"/>
        </w:tabs>
        <w:ind w:left="396" w:hanging="396"/>
      </w:pPr>
      <w:rPr>
        <w:rFonts w:ascii="Arial Bold" w:eastAsia="Arial Bold" w:hAnsi="Arial Bold" w:cs="Arial Bold"/>
        <w:color w:val="1F497D"/>
        <w:position w:val="0"/>
        <w:sz w:val="22"/>
        <w:szCs w:val="22"/>
        <w:u w:color="1F497D"/>
        <w:lang w:val="it-IT"/>
      </w:rPr>
    </w:lvl>
    <w:lvl w:ilvl="1">
      <w:start w:val="1"/>
      <w:numFmt w:val="decimal"/>
      <w:lvlText w:val="%1.%2."/>
      <w:lvlJc w:val="left"/>
      <w:pPr>
        <w:tabs>
          <w:tab w:val="num" w:pos="110"/>
        </w:tabs>
      </w:pPr>
      <w:rPr>
        <w:rFonts w:ascii="Arial Bold" w:eastAsia="Arial Bold" w:hAnsi="Arial Bold" w:cs="Arial Bold"/>
        <w:color w:val="1F497D"/>
        <w:position w:val="0"/>
        <w:sz w:val="22"/>
        <w:szCs w:val="22"/>
        <w:u w:color="1F497D"/>
        <w:lang w:val="it-IT"/>
      </w:rPr>
    </w:lvl>
    <w:lvl w:ilvl="2">
      <w:start w:val="1"/>
      <w:numFmt w:val="lowerLetter"/>
      <w:lvlText w:val="%3."/>
      <w:lvlJc w:val="left"/>
      <w:pPr>
        <w:tabs>
          <w:tab w:val="num" w:pos="110"/>
        </w:tabs>
      </w:pPr>
      <w:rPr>
        <w:rFonts w:ascii="Arial Bold" w:eastAsia="Arial Bold" w:hAnsi="Arial Bold" w:cs="Arial Bold"/>
        <w:color w:val="1F497D"/>
        <w:position w:val="0"/>
        <w:sz w:val="22"/>
        <w:szCs w:val="22"/>
        <w:u w:color="1F497D"/>
        <w:lang w:val="it-IT"/>
      </w:rPr>
    </w:lvl>
    <w:lvl w:ilvl="3">
      <w:start w:val="1"/>
      <w:numFmt w:val="lowerLetter"/>
      <w:lvlText w:val="%4)"/>
      <w:lvlJc w:val="left"/>
      <w:pPr>
        <w:tabs>
          <w:tab w:val="num" w:pos="110"/>
        </w:tabs>
      </w:pPr>
      <w:rPr>
        <w:rFonts w:ascii="Arial Bold" w:eastAsia="Arial Bold" w:hAnsi="Arial Bold" w:cs="Arial Bold"/>
        <w:color w:val="1F497D"/>
        <w:position w:val="0"/>
        <w:sz w:val="22"/>
        <w:szCs w:val="22"/>
        <w:u w:color="1F497D"/>
        <w:lang w:val="it-IT"/>
      </w:rPr>
    </w:lvl>
    <w:lvl w:ilvl="4">
      <w:start w:val="1"/>
      <w:numFmt w:val="decimal"/>
      <w:lvlText w:val="%1.%2.%3.%4.%5."/>
      <w:lvlJc w:val="left"/>
      <w:pPr>
        <w:tabs>
          <w:tab w:val="num" w:pos="110"/>
        </w:tabs>
      </w:pPr>
      <w:rPr>
        <w:rFonts w:ascii="Arial Bold" w:eastAsia="Arial Bold" w:hAnsi="Arial Bold" w:cs="Arial Bold"/>
        <w:color w:val="1F497D"/>
        <w:position w:val="0"/>
        <w:sz w:val="22"/>
        <w:szCs w:val="22"/>
        <w:u w:color="1F497D"/>
        <w:lang w:val="it-IT"/>
      </w:rPr>
    </w:lvl>
    <w:lvl w:ilvl="5">
      <w:start w:val="1"/>
      <w:numFmt w:val="decimal"/>
      <w:lvlText w:val="%1.%2.%3.%4.%5.%6."/>
      <w:lvlJc w:val="left"/>
      <w:pPr>
        <w:tabs>
          <w:tab w:val="num" w:pos="110"/>
        </w:tabs>
      </w:pPr>
      <w:rPr>
        <w:rFonts w:ascii="Arial Bold" w:eastAsia="Arial Bold" w:hAnsi="Arial Bold" w:cs="Arial Bold"/>
        <w:color w:val="1F497D"/>
        <w:position w:val="0"/>
        <w:sz w:val="22"/>
        <w:szCs w:val="22"/>
        <w:u w:color="1F497D"/>
        <w:lang w:val="it-IT"/>
      </w:rPr>
    </w:lvl>
    <w:lvl w:ilvl="6">
      <w:start w:val="1"/>
      <w:numFmt w:val="decimal"/>
      <w:lvlText w:val="%1.%2.%3.%4.%5.%6.%7."/>
      <w:lvlJc w:val="left"/>
      <w:pPr>
        <w:tabs>
          <w:tab w:val="num" w:pos="110"/>
        </w:tabs>
      </w:pPr>
      <w:rPr>
        <w:rFonts w:ascii="Arial Bold" w:eastAsia="Arial Bold" w:hAnsi="Arial Bold" w:cs="Arial Bold"/>
        <w:color w:val="1F497D"/>
        <w:position w:val="0"/>
        <w:sz w:val="22"/>
        <w:szCs w:val="22"/>
        <w:u w:color="1F497D"/>
        <w:lang w:val="it-IT"/>
      </w:rPr>
    </w:lvl>
    <w:lvl w:ilvl="7">
      <w:start w:val="1"/>
      <w:numFmt w:val="decimal"/>
      <w:lvlText w:val="%1.%2.%3.%4.%5.%6.%7.%8."/>
      <w:lvlJc w:val="left"/>
      <w:pPr>
        <w:tabs>
          <w:tab w:val="num" w:pos="110"/>
        </w:tabs>
      </w:pPr>
      <w:rPr>
        <w:rFonts w:ascii="Arial Bold" w:eastAsia="Arial Bold" w:hAnsi="Arial Bold" w:cs="Arial Bold"/>
        <w:color w:val="1F497D"/>
        <w:position w:val="0"/>
        <w:sz w:val="22"/>
        <w:szCs w:val="22"/>
        <w:u w:color="1F497D"/>
        <w:lang w:val="it-IT"/>
      </w:rPr>
    </w:lvl>
    <w:lvl w:ilvl="8">
      <w:start w:val="1"/>
      <w:numFmt w:val="decimal"/>
      <w:lvlText w:val="%1.%2.%3.%4.%5.%6.%7.%8.%9."/>
      <w:lvlJc w:val="left"/>
      <w:pPr>
        <w:tabs>
          <w:tab w:val="num" w:pos="110"/>
        </w:tabs>
      </w:pPr>
      <w:rPr>
        <w:rFonts w:ascii="Arial Bold" w:eastAsia="Arial Bold" w:hAnsi="Arial Bold" w:cs="Arial Bold"/>
        <w:color w:val="1F497D"/>
        <w:position w:val="0"/>
        <w:sz w:val="22"/>
        <w:szCs w:val="22"/>
        <w:u w:color="1F497D"/>
        <w:lang w:val="it-IT"/>
      </w:rPr>
    </w:lvl>
  </w:abstractNum>
  <w:abstractNum w:abstractNumId="25"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574764">
    <w:abstractNumId w:val="21"/>
  </w:num>
  <w:num w:numId="2" w16cid:durableId="1906838556">
    <w:abstractNumId w:val="9"/>
  </w:num>
  <w:num w:numId="3" w16cid:durableId="916012513">
    <w:abstractNumId w:val="18"/>
  </w:num>
  <w:num w:numId="4" w16cid:durableId="984236807">
    <w:abstractNumId w:val="22"/>
  </w:num>
  <w:num w:numId="5" w16cid:durableId="102768485">
    <w:abstractNumId w:val="10"/>
  </w:num>
  <w:num w:numId="6" w16cid:durableId="1924022524">
    <w:abstractNumId w:val="3"/>
  </w:num>
  <w:num w:numId="7" w16cid:durableId="810640106">
    <w:abstractNumId w:val="19"/>
  </w:num>
  <w:num w:numId="8" w16cid:durableId="1793983469">
    <w:abstractNumId w:val="29"/>
  </w:num>
  <w:num w:numId="9" w16cid:durableId="880243329">
    <w:abstractNumId w:val="1"/>
  </w:num>
  <w:num w:numId="10" w16cid:durableId="767165410">
    <w:abstractNumId w:val="23"/>
  </w:num>
  <w:num w:numId="11" w16cid:durableId="1226184811">
    <w:abstractNumId w:val="13"/>
  </w:num>
  <w:num w:numId="12" w16cid:durableId="1609042001">
    <w:abstractNumId w:val="26"/>
  </w:num>
  <w:num w:numId="13" w16cid:durableId="644972486">
    <w:abstractNumId w:val="11"/>
  </w:num>
  <w:num w:numId="14" w16cid:durableId="215900311">
    <w:abstractNumId w:val="15"/>
  </w:num>
  <w:num w:numId="15" w16cid:durableId="1853110495">
    <w:abstractNumId w:val="27"/>
  </w:num>
  <w:num w:numId="16" w16cid:durableId="6283194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1503367">
    <w:abstractNumId w:val="18"/>
    <w:lvlOverride w:ilvl="0">
      <w:startOverride w:val="1"/>
    </w:lvlOverride>
  </w:num>
  <w:num w:numId="18" w16cid:durableId="813641009">
    <w:abstractNumId w:val="21"/>
    <w:lvlOverride w:ilvl="0">
      <w:startOverride w:val="1"/>
    </w:lvlOverride>
  </w:num>
  <w:num w:numId="19" w16cid:durableId="418335387">
    <w:abstractNumId w:val="8"/>
  </w:num>
  <w:num w:numId="20" w16cid:durableId="784539119">
    <w:abstractNumId w:val="25"/>
  </w:num>
  <w:num w:numId="21" w16cid:durableId="706107774">
    <w:abstractNumId w:val="2"/>
  </w:num>
  <w:num w:numId="22" w16cid:durableId="709231436">
    <w:abstractNumId w:val="28"/>
  </w:num>
  <w:num w:numId="23" w16cid:durableId="1523783365">
    <w:abstractNumId w:val="0"/>
  </w:num>
  <w:num w:numId="24" w16cid:durableId="26025454">
    <w:abstractNumId w:val="16"/>
  </w:num>
  <w:num w:numId="25" w16cid:durableId="1425958229">
    <w:abstractNumId w:val="5"/>
  </w:num>
  <w:num w:numId="26" w16cid:durableId="945045082">
    <w:abstractNumId w:val="7"/>
  </w:num>
  <w:num w:numId="27" w16cid:durableId="1230575121">
    <w:abstractNumId w:val="12"/>
  </w:num>
  <w:num w:numId="28" w16cid:durableId="99880118">
    <w:abstractNumId w:val="14"/>
  </w:num>
  <w:num w:numId="29" w16cid:durableId="2118861968">
    <w:abstractNumId w:val="24"/>
  </w:num>
  <w:num w:numId="30" w16cid:durableId="487206640">
    <w:abstractNumId w:val="6"/>
  </w:num>
  <w:num w:numId="31" w16cid:durableId="1717507847">
    <w:abstractNumId w:val="17"/>
  </w:num>
  <w:num w:numId="32" w16cid:durableId="564485622">
    <w:abstractNumId w:val="4"/>
  </w:num>
  <w:num w:numId="33" w16cid:durableId="386770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defaultTabStop w:val="708"/>
  <w:hyphenationZone w:val="283"/>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6374"/>
    <w:rsid w:val="001E73E4"/>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0B36"/>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2C69"/>
    <w:rsid w:val="00404A1A"/>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A2D5D"/>
    <w:rsid w:val="005A6DED"/>
    <w:rsid w:val="005B4E2F"/>
    <w:rsid w:val="005C4314"/>
    <w:rsid w:val="005D14A8"/>
    <w:rsid w:val="005D1F4F"/>
    <w:rsid w:val="005D4886"/>
    <w:rsid w:val="005D6E5F"/>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D0E6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CA0"/>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 w:type="paragraph" w:customStyle="1" w:styleId="a">
    <w:basedOn w:val="Normale"/>
    <w:next w:val="Corpotesto"/>
    <w:link w:val="CorpodeltestoCarattere"/>
    <w:uiPriority w:val="99"/>
    <w:rsid w:val="00290B36"/>
    <w:pPr>
      <w:suppressAutoHyphens/>
      <w:spacing w:before="0" w:after="0"/>
      <w:jc w:val="center"/>
    </w:pPr>
    <w:rPr>
      <w:rFonts w:asciiTheme="minorHAnsi" w:eastAsiaTheme="minorHAnsi" w:hAnsiTheme="minorHAnsi" w:cstheme="minorBidi"/>
      <w:smallCaps/>
      <w:spacing w:val="30"/>
      <w:position w:val="2"/>
      <w:sz w:val="22"/>
      <w:szCs w:val="24"/>
      <w:lang w:eastAsia="ar-SA" w:bidi="ar-SA"/>
    </w:rPr>
  </w:style>
  <w:style w:type="character" w:customStyle="1" w:styleId="CorpodeltestoCarattere">
    <w:name w:val="Corpo del testo Carattere"/>
    <w:link w:val="a"/>
    <w:uiPriority w:val="99"/>
    <w:rsid w:val="00290B36"/>
    <w:rPr>
      <w:smallCaps/>
      <w:spacing w:val="30"/>
      <w:position w:val="2"/>
      <w:sz w:val="22"/>
      <w:szCs w:val="24"/>
      <w:lang w:eastAsia="ar-SA"/>
    </w:rPr>
  </w:style>
  <w:style w:type="paragraph" w:customStyle="1" w:styleId="Nessunaspaziatura1">
    <w:name w:val="Nessuna spaziatura1"/>
    <w:aliases w:val="Commi"/>
    <w:autoRedefine/>
    <w:uiPriority w:val="1"/>
    <w:qFormat/>
    <w:rsid w:val="00290B36"/>
    <w:pPr>
      <w:spacing w:after="60"/>
      <w:ind w:left="1080"/>
    </w:pPr>
    <w:rPr>
      <w:rFonts w:ascii="Calibri" w:eastAsia="Calibri" w:hAnsi="Calibri" w:cs="Times New Roman"/>
      <w:bCs/>
    </w:rPr>
  </w:style>
  <w:style w:type="paragraph" w:styleId="Corpotesto">
    <w:name w:val="Body Text"/>
    <w:basedOn w:val="Normale"/>
    <w:link w:val="CorpotestoCarattere"/>
    <w:uiPriority w:val="99"/>
    <w:semiHidden/>
    <w:unhideWhenUsed/>
    <w:rsid w:val="00290B36"/>
  </w:style>
  <w:style w:type="character" w:customStyle="1" w:styleId="CorpotestoCarattere">
    <w:name w:val="Corpo testo Carattere"/>
    <w:basedOn w:val="Carpredefinitoparagrafo"/>
    <w:link w:val="Corpotesto"/>
    <w:uiPriority w:val="99"/>
    <w:semiHidden/>
    <w:rsid w:val="00290B36"/>
    <w:rPr>
      <w:rFonts w:ascii="Times New Roman" w:eastAsia="Calibri" w:hAnsi="Times New Roman" w:cs="Times New Roman"/>
      <w:sz w:val="24"/>
      <w:lang w:eastAsia="it-IT" w:bidi="it-IT"/>
    </w:rPr>
  </w:style>
  <w:style w:type="numbering" w:customStyle="1" w:styleId="List1">
    <w:name w:val="List 1"/>
    <w:basedOn w:val="Nessunelenco"/>
    <w:rsid w:val="00DC7CA0"/>
    <w:pPr>
      <w:numPr>
        <w:numId w:val="29"/>
      </w:numPr>
    </w:pPr>
  </w:style>
  <w:style w:type="paragraph" w:customStyle="1" w:styleId="Proposta">
    <w:name w:val="Proposta"/>
    <w:rsid w:val="00DC7CA0"/>
    <w:pPr>
      <w:autoSpaceDE w:val="0"/>
      <w:autoSpaceDN w:val="0"/>
      <w:spacing w:after="0"/>
    </w:pPr>
    <w:rPr>
      <w:rFonts w:ascii="Arial" w:eastAsia="Times New Roman" w:hAnsi="Arial" w:cs="Arial"/>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399328774">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2.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4.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7096</Words>
  <Characters>40451</Characters>
  <Application>Microsoft Office Word</Application>
  <DocSecurity>0</DocSecurity>
  <Lines>337</Lines>
  <Paragraphs>94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47453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2022-06-15T10:39:00Z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